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C223C" w14:textId="3104DCB4" w:rsidR="004024F7" w:rsidRPr="004024F7" w:rsidRDefault="004024F7" w:rsidP="004024F7">
      <w:pPr>
        <w:tabs>
          <w:tab w:val="left" w:pos="1800"/>
          <w:tab w:val="right" w:pos="9072"/>
        </w:tabs>
        <w:autoSpaceDE/>
        <w:autoSpaceDN/>
        <w:adjustRightInd/>
        <w:snapToGrid/>
        <w:spacing w:after="0"/>
        <w:ind w:left="1800" w:hanging="1800"/>
        <w:jc w:val="left"/>
        <w:rPr>
          <w:rFonts w:ascii="Arial" w:hAnsi="Arial" w:cs="Arial"/>
          <w:b/>
          <w:lang w:eastAsia="zh-CN"/>
        </w:rPr>
      </w:pPr>
      <w:r w:rsidRPr="004024F7">
        <w:rPr>
          <w:rFonts w:ascii="Arial" w:eastAsia="MS Mincho" w:hAnsi="Arial" w:cs="Arial"/>
          <w:b/>
        </w:rPr>
        <w:t>3GPP TSG RAN WG1 #10</w:t>
      </w:r>
      <w:r w:rsidRPr="004024F7">
        <w:rPr>
          <w:rFonts w:ascii="Arial" w:eastAsia="MS Mincho" w:hAnsi="Arial" w:cs="Arial" w:hint="eastAsia"/>
          <w:b/>
        </w:rPr>
        <w:t>6</w:t>
      </w:r>
      <w:r w:rsidRPr="004024F7">
        <w:rPr>
          <w:rFonts w:ascii="Arial" w:eastAsia="MS Mincho" w:hAnsi="Arial" w:cs="Arial"/>
          <w:b/>
        </w:rPr>
        <w:t>-e</w:t>
      </w:r>
      <w:r>
        <w:rPr>
          <w:rFonts w:ascii="Arial" w:eastAsia="MS Mincho" w:hAnsi="Arial" w:cs="Arial"/>
          <w:b/>
        </w:rPr>
        <w:t xml:space="preserve">                                                                                            </w:t>
      </w:r>
      <w:r w:rsidR="00C02654" w:rsidRPr="00C02654">
        <w:rPr>
          <w:rFonts w:ascii="Arial" w:eastAsia="MS Mincho" w:hAnsi="Arial" w:cs="Arial"/>
          <w:b/>
        </w:rPr>
        <w:t>R1-2107972</w:t>
      </w:r>
    </w:p>
    <w:p w14:paraId="5BDA14B6" w14:textId="77777777" w:rsidR="004024F7" w:rsidRPr="004024F7" w:rsidRDefault="004024F7" w:rsidP="004024F7">
      <w:pPr>
        <w:tabs>
          <w:tab w:val="left" w:pos="1800"/>
          <w:tab w:val="right" w:pos="9072"/>
        </w:tabs>
        <w:autoSpaceDE/>
        <w:autoSpaceDN/>
        <w:adjustRightInd/>
        <w:snapToGrid/>
        <w:spacing w:after="0"/>
        <w:ind w:left="1800" w:hanging="1800"/>
        <w:jc w:val="left"/>
        <w:rPr>
          <w:rFonts w:ascii="Arial" w:eastAsia="MS Mincho" w:hAnsi="Arial" w:cs="Arial"/>
          <w:b/>
        </w:rPr>
      </w:pPr>
      <w:r w:rsidRPr="004024F7">
        <w:rPr>
          <w:rFonts w:ascii="Arial" w:eastAsia="MS Mincho" w:hAnsi="Arial" w:cs="Arial"/>
          <w:b/>
          <w:bCs/>
          <w:szCs w:val="24"/>
        </w:rPr>
        <w:t>e-Meeting, August 16</w:t>
      </w:r>
      <w:r w:rsidRPr="004024F7">
        <w:rPr>
          <w:rFonts w:ascii="Arial" w:eastAsia="MS Mincho" w:hAnsi="Arial" w:cs="Arial"/>
          <w:b/>
          <w:bCs/>
          <w:szCs w:val="24"/>
          <w:vertAlign w:val="superscript"/>
        </w:rPr>
        <w:t>th</w:t>
      </w:r>
      <w:r w:rsidRPr="004024F7">
        <w:rPr>
          <w:rFonts w:ascii="Arial" w:eastAsia="MS Mincho" w:hAnsi="Arial" w:cs="Arial"/>
          <w:b/>
          <w:bCs/>
          <w:szCs w:val="24"/>
        </w:rPr>
        <w:t xml:space="preserve"> – 27</w:t>
      </w:r>
      <w:r w:rsidRPr="004024F7">
        <w:rPr>
          <w:rFonts w:ascii="Arial" w:eastAsia="MS Mincho" w:hAnsi="Arial" w:cs="Arial"/>
          <w:b/>
          <w:bCs/>
          <w:szCs w:val="24"/>
          <w:vertAlign w:val="superscript"/>
        </w:rPr>
        <w:t>th</w:t>
      </w:r>
      <w:r w:rsidRPr="004024F7">
        <w:rPr>
          <w:rFonts w:ascii="Arial" w:eastAsia="MS Mincho" w:hAnsi="Arial" w:cs="Arial"/>
          <w:b/>
          <w:bCs/>
          <w:szCs w:val="24"/>
        </w:rPr>
        <w:t>, 2021</w:t>
      </w:r>
    </w:p>
    <w:p w14:paraId="02DD55BE" w14:textId="77777777" w:rsidR="00833A02" w:rsidRPr="004024F7" w:rsidRDefault="00833A02" w:rsidP="00C20691">
      <w:pPr>
        <w:spacing w:after="60"/>
        <w:ind w:left="1985" w:hanging="1985"/>
        <w:rPr>
          <w:rFonts w:ascii="Arial" w:hAnsi="Arial" w:cs="Arial"/>
          <w:b/>
          <w:lang w:val="en-GB"/>
        </w:rPr>
      </w:pPr>
    </w:p>
    <w:p w14:paraId="002EFB72" w14:textId="03611BB8"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462DA6">
        <w:rPr>
          <w:rFonts w:ascii="Arial" w:hAnsi="Arial" w:cs="Arial"/>
          <w:b/>
        </w:rPr>
        <w:t xml:space="preserve">Draft reply LS on </w:t>
      </w:r>
      <w:bookmarkStart w:id="0" w:name="_Hlk78811387"/>
      <w:r w:rsidR="005847CB" w:rsidRPr="005847CB">
        <w:rPr>
          <w:rFonts w:ascii="Arial" w:hAnsi="Arial" w:cs="Arial"/>
          <w:b/>
        </w:rPr>
        <w:t>physical layer aspects of small data transmission</w:t>
      </w:r>
      <w:bookmarkEnd w:id="0"/>
    </w:p>
    <w:p w14:paraId="3321188F" w14:textId="664A5A4F" w:rsidR="005847CB" w:rsidRDefault="005847CB" w:rsidP="00C20691">
      <w:pPr>
        <w:spacing w:after="60"/>
        <w:ind w:left="1985" w:hanging="1985"/>
        <w:rPr>
          <w:rFonts w:ascii="Arial" w:hAnsi="Arial" w:cs="Arial"/>
          <w:b/>
          <w:lang w:eastAsia="zh-CN"/>
        </w:rPr>
      </w:pPr>
      <w:r>
        <w:rPr>
          <w:rFonts w:ascii="Arial" w:hAnsi="Arial" w:cs="Arial" w:hint="eastAsia"/>
          <w:b/>
          <w:lang w:eastAsia="zh-CN"/>
        </w:rPr>
        <w:t>R</w:t>
      </w:r>
      <w:r>
        <w:rPr>
          <w:rFonts w:ascii="Arial" w:hAnsi="Arial" w:cs="Arial"/>
          <w:b/>
          <w:lang w:eastAsia="zh-CN"/>
        </w:rPr>
        <w:t>esponse to:</w:t>
      </w:r>
      <w:r>
        <w:rPr>
          <w:rFonts w:ascii="Arial" w:hAnsi="Arial" w:cs="Arial"/>
          <w:b/>
          <w:lang w:eastAsia="zh-CN"/>
        </w:rPr>
        <w:tab/>
      </w:r>
      <w:bookmarkStart w:id="1" w:name="_Hlk78811395"/>
      <w:r w:rsidRPr="005847CB">
        <w:rPr>
          <w:rFonts w:ascii="Arial" w:hAnsi="Arial" w:cs="Arial"/>
          <w:b/>
          <w:lang w:eastAsia="zh-CN"/>
        </w:rPr>
        <w:t>R2-2106561</w:t>
      </w:r>
      <w:bookmarkEnd w:id="1"/>
    </w:p>
    <w:p w14:paraId="79F40DB8" w14:textId="5449ED4A"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3530FE">
        <w:rPr>
          <w:rFonts w:ascii="Arial" w:hAnsi="Arial" w:cs="Arial"/>
          <w:b/>
        </w:rPr>
        <w:t>7</w:t>
      </w:r>
    </w:p>
    <w:p w14:paraId="22BF3FE9" w14:textId="0D9CD2A6"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5847CB" w:rsidRPr="00A50E85">
        <w:rPr>
          <w:rFonts w:ascii="Arial" w:hAnsi="Arial" w:cs="Arial"/>
          <w:b/>
          <w:bCs/>
        </w:rPr>
        <w:t>NR_SmallData_INACTIVE</w:t>
      </w:r>
      <w:proofErr w:type="spellEnd"/>
      <w:r w:rsidR="005847CB" w:rsidRPr="00A50E85">
        <w:rPr>
          <w:rFonts w:ascii="Arial" w:hAnsi="Arial" w:cs="Arial"/>
          <w:b/>
          <w:bCs/>
        </w:rPr>
        <w:t>-Core</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Source:</w:t>
      </w:r>
      <w:r w:rsidRPr="00272D95">
        <w:rPr>
          <w:rFonts w:ascii="Arial" w:hAnsi="Arial" w:cs="Arial"/>
          <w:bCs/>
          <w:lang w:val="fr-FR"/>
        </w:rPr>
        <w:tab/>
      </w:r>
      <w:r w:rsidR="006D35A8" w:rsidRPr="005847CB">
        <w:rPr>
          <w:rFonts w:ascii="Arial" w:hAnsi="Arial" w:cs="Arial"/>
          <w:b/>
          <w:bCs/>
          <w:lang w:val="fr-FR"/>
        </w:rPr>
        <w:t>RAN1</w:t>
      </w:r>
    </w:p>
    <w:p w14:paraId="0D32C0E1" w14:textId="3EB1B704" w:rsidR="00C20691" w:rsidRPr="005847CB" w:rsidRDefault="00C20691" w:rsidP="00C20691">
      <w:pPr>
        <w:spacing w:after="60"/>
        <w:ind w:left="1985" w:hanging="1985"/>
        <w:rPr>
          <w:rFonts w:ascii="Arial" w:hAnsi="Arial" w:cs="Arial"/>
          <w:b/>
          <w:bCs/>
          <w:lang w:val="fr-FR"/>
        </w:rPr>
      </w:pPr>
      <w:r w:rsidRPr="00272D95">
        <w:rPr>
          <w:rFonts w:ascii="Arial" w:hAnsi="Arial" w:cs="Arial"/>
          <w:b/>
          <w:lang w:val="fr-FR"/>
        </w:rPr>
        <w:t>To:</w:t>
      </w:r>
      <w:r w:rsidRPr="00272D95">
        <w:rPr>
          <w:rFonts w:ascii="Arial" w:hAnsi="Arial" w:cs="Arial"/>
          <w:bCs/>
          <w:lang w:val="fr-FR"/>
        </w:rPr>
        <w:tab/>
      </w:r>
      <w:r w:rsidR="005847CB" w:rsidRPr="005847CB">
        <w:rPr>
          <w:rFonts w:ascii="Arial" w:hAnsi="Arial" w:cs="Arial"/>
          <w:b/>
          <w:bCs/>
          <w:lang w:val="fr-FR" w:eastAsia="zh-CN"/>
        </w:rPr>
        <w:t>RAN2</w:t>
      </w:r>
    </w:p>
    <w:p w14:paraId="6F1E3EEB" w14:textId="25E9EFC9"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Cc:</w:t>
      </w:r>
      <w:r w:rsidRPr="00272D95">
        <w:rPr>
          <w:rFonts w:ascii="Arial" w:hAnsi="Arial" w:cs="Arial"/>
          <w:bCs/>
          <w:lang w:val="fr-FR"/>
        </w:rPr>
        <w:tab/>
      </w:r>
    </w:p>
    <w:p w14:paraId="7660ACA3" w14:textId="738F0585"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50D3A47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w:t>
      </w:r>
    </w:p>
    <w:p w14:paraId="633F437B" w14:textId="625971D3"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4A8389C7" w14:textId="282AF275" w:rsidR="00117C97" w:rsidRDefault="00117C97" w:rsidP="0094502B">
      <w:pPr>
        <w:overflowPunct w:val="0"/>
        <w:spacing w:before="100" w:beforeAutospacing="1" w:after="100" w:afterAutospacing="1"/>
        <w:rPr>
          <w:lang w:eastAsia="zh-CN"/>
        </w:rPr>
      </w:pPr>
      <w:r>
        <w:rPr>
          <w:rFonts w:hint="eastAsia"/>
          <w:lang w:eastAsia="zh-CN"/>
        </w:rPr>
        <w:t>R</w:t>
      </w:r>
      <w:r>
        <w:rPr>
          <w:lang w:eastAsia="zh-CN"/>
        </w:rPr>
        <w:t xml:space="preserve">AN1 would like to thank </w:t>
      </w:r>
      <w:r w:rsidR="005847CB">
        <w:rPr>
          <w:lang w:eastAsia="zh-CN"/>
        </w:rPr>
        <w:t>RAN2</w:t>
      </w:r>
      <w:r w:rsidR="00503968">
        <w:rPr>
          <w:lang w:eastAsia="zh-CN"/>
        </w:rPr>
        <w:t xml:space="preserve"> </w:t>
      </w:r>
      <w:r>
        <w:rPr>
          <w:lang w:eastAsia="zh-CN"/>
        </w:rPr>
        <w:t xml:space="preserve">for the LS on </w:t>
      </w:r>
      <w:r w:rsidR="005847CB" w:rsidRPr="005847CB">
        <w:rPr>
          <w:lang w:eastAsia="zh-CN"/>
        </w:rPr>
        <w:t>physical layer aspects of small data transmission</w:t>
      </w:r>
      <w:r w:rsidR="00FE5C3B">
        <w:rPr>
          <w:lang w:eastAsia="zh-CN"/>
        </w:rPr>
        <w:t xml:space="preserve"> </w:t>
      </w:r>
      <w:r w:rsidR="00FE5C3B">
        <w:rPr>
          <w:rFonts w:hint="eastAsia"/>
          <w:lang w:eastAsia="zh-CN"/>
        </w:rPr>
        <w:t>in</w:t>
      </w:r>
      <w:r w:rsidR="00FE5C3B" w:rsidRPr="00FE5C3B">
        <w:rPr>
          <w:lang w:eastAsia="zh-CN"/>
        </w:rPr>
        <w:t xml:space="preserve"> </w:t>
      </w:r>
      <w:r w:rsidR="005847CB" w:rsidRPr="005847CB">
        <w:rPr>
          <w:bCs/>
          <w:lang w:eastAsia="zh-CN"/>
        </w:rPr>
        <w:t>R2-2106561</w:t>
      </w:r>
      <w:r>
        <w:rPr>
          <w:lang w:eastAsia="zh-CN"/>
        </w:rPr>
        <w:t>.</w:t>
      </w:r>
    </w:p>
    <w:p w14:paraId="2CC987AE" w14:textId="3388634F" w:rsidR="00503968" w:rsidRDefault="003866A0" w:rsidP="0094502B">
      <w:pPr>
        <w:overflowPunct w:val="0"/>
        <w:spacing w:before="100" w:beforeAutospacing="1" w:after="100" w:afterAutospacing="1"/>
        <w:rPr>
          <w:lang w:eastAsia="zh-CN"/>
        </w:rPr>
      </w:pPr>
      <w:r>
        <w:rPr>
          <w:rFonts w:hint="eastAsia"/>
          <w:lang w:eastAsia="zh-CN"/>
        </w:rPr>
        <w:t>RAN</w:t>
      </w:r>
      <w:r>
        <w:rPr>
          <w:lang w:eastAsia="zh-CN"/>
        </w:rPr>
        <w:t xml:space="preserve">1 has discussed the </w:t>
      </w:r>
      <w:r w:rsidR="00FE5C3B">
        <w:rPr>
          <w:lang w:eastAsia="zh-CN"/>
        </w:rPr>
        <w:t xml:space="preserve">following question regarding </w:t>
      </w:r>
      <w:r w:rsidR="00D96704">
        <w:rPr>
          <w:rFonts w:hint="eastAsia"/>
          <w:lang w:eastAsia="zh-CN"/>
        </w:rPr>
        <w:t>the</w:t>
      </w:r>
      <w:r w:rsidR="00D96704">
        <w:rPr>
          <w:lang w:eastAsia="zh-CN"/>
        </w:rPr>
        <w:t xml:space="preserve"> </w:t>
      </w:r>
      <w:r w:rsidR="00296684">
        <w:rPr>
          <w:lang w:eastAsia="zh-CN"/>
        </w:rPr>
        <w:t>CG-SDT</w:t>
      </w:r>
      <w:r>
        <w:rPr>
          <w:lang w:eastAsia="zh-CN"/>
        </w:rPr>
        <w:t xml:space="preserve"> </w:t>
      </w:r>
      <w:r w:rsidR="00FE5C3B">
        <w:rPr>
          <w:lang w:eastAsia="zh-CN"/>
        </w:rPr>
        <w:t xml:space="preserve">and would like to provide response as follows. </w:t>
      </w:r>
    </w:p>
    <w:tbl>
      <w:tblPr>
        <w:tblStyle w:val="ae"/>
        <w:tblW w:w="0" w:type="auto"/>
        <w:tblInd w:w="250" w:type="dxa"/>
        <w:tblLook w:val="04A0" w:firstRow="1" w:lastRow="0" w:firstColumn="1" w:lastColumn="0" w:noHBand="0" w:noVBand="1"/>
      </w:tblPr>
      <w:tblGrid>
        <w:gridCol w:w="9605"/>
      </w:tblGrid>
      <w:tr w:rsidR="00296684" w14:paraId="3FB7B9B5" w14:textId="77777777" w:rsidTr="00296684">
        <w:tc>
          <w:tcPr>
            <w:tcW w:w="9605" w:type="dxa"/>
          </w:tcPr>
          <w:p w14:paraId="5547D4B3" w14:textId="72D67C2B" w:rsidR="00296684" w:rsidRPr="00296684" w:rsidRDefault="00296684" w:rsidP="00CB23BB">
            <w:pPr>
              <w:pStyle w:val="af5"/>
              <w:numPr>
                <w:ilvl w:val="0"/>
                <w:numId w:val="5"/>
              </w:numPr>
              <w:jc w:val="both"/>
              <w:rPr>
                <w:rFonts w:ascii="Arial" w:hAnsi="Arial" w:cs="Arial"/>
                <w:bCs/>
                <w:lang w:eastAsia="zh-CN"/>
              </w:rPr>
            </w:pPr>
            <w:r w:rsidRPr="00C240D8">
              <w:rPr>
                <w:rFonts w:ascii="Arial" w:hAnsi="Arial" w:cs="Arial"/>
                <w:u w:val="single"/>
              </w:rPr>
              <w:t>Working assumption</w:t>
            </w:r>
            <w:r w:rsidRPr="00C240D8">
              <w:rPr>
                <w:rFonts w:ascii="Arial" w:hAnsi="Arial" w:cs="Arial"/>
              </w:rPr>
              <w:t>: UE-specific search space is configured for UEs performing CG-SDT. RAN2 asks RAN1 whether this working assumption can be confirmed</w:t>
            </w:r>
          </w:p>
        </w:tc>
      </w:tr>
    </w:tbl>
    <w:p w14:paraId="3039381C" w14:textId="6907DC5D" w:rsidR="005847CB" w:rsidRDefault="00296684" w:rsidP="00296684">
      <w:pPr>
        <w:overflowPunct w:val="0"/>
        <w:spacing w:before="100" w:beforeAutospacing="1" w:after="100" w:afterAutospacing="1"/>
        <w:rPr>
          <w:lang w:eastAsia="zh-CN"/>
        </w:rPr>
      </w:pPr>
      <w:r w:rsidRPr="00FE5C3B">
        <w:rPr>
          <w:b/>
          <w:bCs/>
          <w:lang w:val="en-GB" w:eastAsia="zh-CN"/>
        </w:rPr>
        <w:t>Answer</w:t>
      </w:r>
      <w:r w:rsidRPr="00FE5C3B">
        <w:rPr>
          <w:lang w:val="en-GB" w:eastAsia="zh-CN"/>
        </w:rPr>
        <w:t xml:space="preserve">: </w:t>
      </w:r>
      <w:r>
        <w:rPr>
          <w:lang w:eastAsia="zh-CN"/>
        </w:rPr>
        <w:t>RAN1 confirms this working assumption</w:t>
      </w:r>
      <w:r w:rsidRPr="00296684">
        <w:rPr>
          <w:lang w:eastAsia="zh-CN"/>
        </w:rPr>
        <w:t xml:space="preserve"> </w:t>
      </w:r>
      <w:r>
        <w:rPr>
          <w:lang w:eastAsia="zh-CN"/>
        </w:rPr>
        <w:t>on UE-specific search space configured for UEs performing CG-SDT</w:t>
      </w:r>
      <w:r>
        <w:rPr>
          <w:lang w:val="en-GB" w:eastAsia="zh-CN"/>
        </w:rPr>
        <w:t>.</w:t>
      </w:r>
    </w:p>
    <w:tbl>
      <w:tblPr>
        <w:tblStyle w:val="ae"/>
        <w:tblW w:w="0" w:type="auto"/>
        <w:tblInd w:w="250" w:type="dxa"/>
        <w:tblLook w:val="04A0" w:firstRow="1" w:lastRow="0" w:firstColumn="1" w:lastColumn="0" w:noHBand="0" w:noVBand="1"/>
      </w:tblPr>
      <w:tblGrid>
        <w:gridCol w:w="9605"/>
      </w:tblGrid>
      <w:tr w:rsidR="00296684" w14:paraId="46FD5B77" w14:textId="77777777" w:rsidTr="00296684">
        <w:tc>
          <w:tcPr>
            <w:tcW w:w="9605" w:type="dxa"/>
          </w:tcPr>
          <w:p w14:paraId="2D3AE203" w14:textId="695752F8" w:rsidR="00296684" w:rsidRPr="00296684" w:rsidRDefault="00296684" w:rsidP="00CB23BB">
            <w:pPr>
              <w:pStyle w:val="af5"/>
              <w:numPr>
                <w:ilvl w:val="0"/>
                <w:numId w:val="5"/>
              </w:numPr>
              <w:spacing w:after="120"/>
              <w:jc w:val="both"/>
              <w:rPr>
                <w:rFonts w:ascii="Arial" w:hAnsi="Arial" w:cs="Arial"/>
                <w:bCs/>
                <w:lang w:eastAsia="zh-CN"/>
              </w:rPr>
            </w:pPr>
            <w:r w:rsidRPr="00C240D8">
              <w:rPr>
                <w:rFonts w:ascii="Arial" w:hAnsi="Arial" w:cs="Arial"/>
              </w:rPr>
              <w:t xml:space="preserve">CG-SDT resource can be configured on </w:t>
            </w:r>
            <w:bookmarkStart w:id="2" w:name="_Hlk78813318"/>
            <w:r w:rsidRPr="00C240D8">
              <w:rPr>
                <w:rFonts w:ascii="Arial" w:hAnsi="Arial" w:cs="Arial"/>
              </w:rPr>
              <w:t>either initial BWP or separate SDT BWP</w:t>
            </w:r>
            <w:bookmarkEnd w:id="2"/>
            <w:r w:rsidRPr="00C240D8">
              <w:rPr>
                <w:rFonts w:ascii="Arial" w:hAnsi="Arial" w:cs="Arial"/>
              </w:rPr>
              <w:t>. Ask RAN1 to confirm</w:t>
            </w:r>
          </w:p>
        </w:tc>
      </w:tr>
    </w:tbl>
    <w:p w14:paraId="188EF6CF" w14:textId="54152818" w:rsidR="00296684" w:rsidRDefault="00296684" w:rsidP="00296684">
      <w:pPr>
        <w:overflowPunct w:val="0"/>
        <w:spacing w:before="100" w:beforeAutospacing="1" w:after="100" w:afterAutospacing="1"/>
        <w:rPr>
          <w:lang w:eastAsia="zh-CN"/>
        </w:rPr>
      </w:pPr>
      <w:r w:rsidRPr="00FE5C3B">
        <w:rPr>
          <w:b/>
          <w:bCs/>
          <w:lang w:val="en-GB" w:eastAsia="zh-CN"/>
        </w:rPr>
        <w:t>Answer</w:t>
      </w:r>
      <w:r w:rsidRPr="00FE5C3B">
        <w:rPr>
          <w:lang w:val="en-GB" w:eastAsia="zh-CN"/>
        </w:rPr>
        <w:t xml:space="preserve">: </w:t>
      </w:r>
      <w:r>
        <w:rPr>
          <w:lang w:eastAsia="zh-CN"/>
        </w:rPr>
        <w:t xml:space="preserve">RAN1 concluded that </w:t>
      </w:r>
      <w:r w:rsidRPr="00296684">
        <w:rPr>
          <w:lang w:eastAsia="zh-CN"/>
        </w:rPr>
        <w:t>either initial BWP or separate SDT BWP</w:t>
      </w:r>
      <w:r>
        <w:rPr>
          <w:lang w:eastAsia="zh-CN"/>
        </w:rPr>
        <w:t xml:space="preserve"> can be configured for CG-SDT.</w:t>
      </w:r>
    </w:p>
    <w:tbl>
      <w:tblPr>
        <w:tblStyle w:val="ae"/>
        <w:tblW w:w="0" w:type="auto"/>
        <w:tblInd w:w="250" w:type="dxa"/>
        <w:tblLook w:val="04A0" w:firstRow="1" w:lastRow="0" w:firstColumn="1" w:lastColumn="0" w:noHBand="0" w:noVBand="1"/>
      </w:tblPr>
      <w:tblGrid>
        <w:gridCol w:w="9605"/>
      </w:tblGrid>
      <w:tr w:rsidR="00561A5D" w14:paraId="091C5129" w14:textId="77777777" w:rsidTr="00561A5D">
        <w:tc>
          <w:tcPr>
            <w:tcW w:w="9605" w:type="dxa"/>
          </w:tcPr>
          <w:p w14:paraId="0AEEE037" w14:textId="77777777" w:rsidR="00561A5D" w:rsidRPr="00AF6F5A" w:rsidRDefault="00561A5D" w:rsidP="00CB23BB">
            <w:pPr>
              <w:pStyle w:val="af5"/>
              <w:numPr>
                <w:ilvl w:val="0"/>
                <w:numId w:val="5"/>
              </w:numPr>
              <w:spacing w:after="120"/>
              <w:jc w:val="both"/>
              <w:rPr>
                <w:rFonts w:ascii="Arial" w:hAnsi="Arial" w:cs="Arial"/>
                <w:bCs/>
                <w:lang w:eastAsia="zh-CN"/>
              </w:rPr>
            </w:pPr>
            <w:r w:rsidRPr="00AF6F5A">
              <w:rPr>
                <w:rFonts w:ascii="Arial" w:hAnsi="Arial" w:cs="Arial"/>
              </w:rPr>
              <w:t>RAN2 thinks that some feedback may be beneficial in case CG is used for subsequent transmission.  RAN2 assumes that existing mechanism can be used.</w:t>
            </w:r>
          </w:p>
        </w:tc>
      </w:tr>
    </w:tbl>
    <w:p w14:paraId="3B653B2D" w14:textId="3DB457B6" w:rsidR="00561A5D" w:rsidRDefault="00561A5D" w:rsidP="00561A5D">
      <w:pPr>
        <w:overflowPunct w:val="0"/>
        <w:spacing w:before="100" w:beforeAutospacing="1" w:after="100" w:afterAutospacing="1"/>
        <w:rPr>
          <w:lang w:eastAsia="zh-CN"/>
        </w:rPr>
      </w:pPr>
      <w:r w:rsidRPr="00FE5C3B">
        <w:rPr>
          <w:b/>
          <w:bCs/>
          <w:lang w:val="en-GB" w:eastAsia="zh-CN"/>
        </w:rPr>
        <w:t>Answer</w:t>
      </w:r>
      <w:r w:rsidRPr="00FE5C3B">
        <w:rPr>
          <w:lang w:val="en-GB" w:eastAsia="zh-CN"/>
        </w:rPr>
        <w:t xml:space="preserve">: </w:t>
      </w:r>
      <w:r>
        <w:rPr>
          <w:lang w:eastAsia="zh-CN"/>
        </w:rPr>
        <w:t xml:space="preserve">RAN1 discussed the potential feedback for CG-SDT. RAN1 thinks that the existing mechanism e.g. </w:t>
      </w:r>
      <w:r w:rsidR="00D1617B" w:rsidRPr="00D1617B">
        <w:rPr>
          <w:lang w:eastAsia="zh-CN"/>
        </w:rPr>
        <w:t>DL/UL grant scheduling subsequent transmission can be used for the feedback response to CG-SDT transmission</w:t>
      </w:r>
      <w:r w:rsidR="00D1617B">
        <w:rPr>
          <w:lang w:eastAsia="zh-CN"/>
        </w:rPr>
        <w:t>.</w:t>
      </w:r>
    </w:p>
    <w:p w14:paraId="5E63C2C4" w14:textId="0A4C4CDE" w:rsidR="00F65B90" w:rsidRDefault="00EA3922" w:rsidP="0094502B">
      <w:pPr>
        <w:overflowPunct w:val="0"/>
        <w:spacing w:before="100" w:beforeAutospacing="1" w:after="100" w:afterAutospacing="1"/>
      </w:pPr>
      <w:r>
        <w:rPr>
          <w:lang w:eastAsia="zh-CN"/>
        </w:rPr>
        <w:t xml:space="preserve">Regarding RA-SDT, RAN1 discussed the </w:t>
      </w:r>
      <w:r>
        <w:rPr>
          <w:rFonts w:eastAsia="等线"/>
          <w:lang w:eastAsia="en-GB"/>
        </w:rPr>
        <w:t>configuration parameters for</w:t>
      </w:r>
      <w:r w:rsidRPr="00D37AA2">
        <w:rPr>
          <w:bCs/>
        </w:rPr>
        <w:t xml:space="preserve"> the PRACH resource configuration</w:t>
      </w:r>
      <w:r w:rsidRPr="003167EA">
        <w:rPr>
          <w:bCs/>
        </w:rPr>
        <w:t xml:space="preserve"> </w:t>
      </w:r>
      <w:r>
        <w:rPr>
          <w:bCs/>
        </w:rPr>
        <w:t xml:space="preserve">when </w:t>
      </w:r>
      <w:r>
        <w:t>PRACH occasions</w:t>
      </w:r>
      <w:r w:rsidRPr="002432B9">
        <w:t xml:space="preserve"> are shared between SDT and non-SDT</w:t>
      </w:r>
      <w:r>
        <w:rPr>
          <w:rFonts w:eastAsia="等线"/>
          <w:lang w:eastAsia="en-GB"/>
        </w:rPr>
        <w:t xml:space="preserve"> and when </w:t>
      </w:r>
      <w:r>
        <w:t>PRACH occasions</w:t>
      </w:r>
      <w:r w:rsidRPr="002432B9">
        <w:t xml:space="preserve"> are separately configured for SDT and non-SDT</w:t>
      </w:r>
      <w:r>
        <w:t>. Following configurations for RA-SDT are provided from RAN1.</w:t>
      </w:r>
    </w:p>
    <w:tbl>
      <w:tblPr>
        <w:tblStyle w:val="ae"/>
        <w:tblW w:w="0" w:type="auto"/>
        <w:tblLook w:val="04A0" w:firstRow="1" w:lastRow="0" w:firstColumn="1" w:lastColumn="0" w:noHBand="0" w:noVBand="1"/>
      </w:tblPr>
      <w:tblGrid>
        <w:gridCol w:w="9855"/>
      </w:tblGrid>
      <w:tr w:rsidR="00EA3922" w14:paraId="45AB9405" w14:textId="77777777" w:rsidTr="00EA3922">
        <w:tc>
          <w:tcPr>
            <w:tcW w:w="9855" w:type="dxa"/>
          </w:tcPr>
          <w:p w14:paraId="4BB0EBDD" w14:textId="69C12540" w:rsidR="00EA3922" w:rsidRPr="00EA3922" w:rsidRDefault="00EA3922" w:rsidP="00EA3922">
            <w:pPr>
              <w:pStyle w:val="a3"/>
              <w:rPr>
                <w:lang w:eastAsia="zh-CN"/>
              </w:rPr>
            </w:pPr>
            <w:r w:rsidRPr="00EA3922">
              <w:t xml:space="preserve">For RA-SDT, </w:t>
            </w:r>
            <w:r w:rsidRPr="00EA3922">
              <w:rPr>
                <w:szCs w:val="22"/>
                <w:lang w:val="en-GB" w:eastAsia="zh-CN"/>
              </w:rPr>
              <w:t>when PRACH occasions are separate between SDT and non-SDT, the PRACH resource configurations are separately configured for both 4-step RACH and 2-step RACH, including time resources and frequency resources of PRACH resources, preamble formats, root sequence and total number of preambles for SDT.</w:t>
            </w:r>
          </w:p>
          <w:p w14:paraId="5D556B6E" w14:textId="05446669" w:rsidR="00EA3922" w:rsidRPr="00EA3922" w:rsidRDefault="00EA3922" w:rsidP="00EA3922">
            <w:pPr>
              <w:pStyle w:val="a3"/>
              <w:rPr>
                <w:lang w:eastAsia="zh-CN"/>
              </w:rPr>
            </w:pPr>
            <w:r w:rsidRPr="00EA3922">
              <w:t xml:space="preserve">For RA-SDT, </w:t>
            </w:r>
            <w:r w:rsidRPr="00EA3922">
              <w:rPr>
                <w:szCs w:val="22"/>
                <w:lang w:val="en-GB" w:eastAsia="zh-CN"/>
              </w:rPr>
              <w:t>when PRACH occasions are shared between SDT and non-SDT, the preambles for SDT and non-SDT in the shared ROs are separately configured.</w:t>
            </w:r>
          </w:p>
          <w:p w14:paraId="31073540" w14:textId="77777777" w:rsidR="00EA3922" w:rsidRPr="00EA3922" w:rsidRDefault="00EA3922" w:rsidP="00CB23BB">
            <w:pPr>
              <w:pStyle w:val="a3"/>
              <w:numPr>
                <w:ilvl w:val="1"/>
                <w:numId w:val="6"/>
              </w:numPr>
              <w:autoSpaceDE/>
              <w:autoSpaceDN/>
              <w:adjustRightInd/>
              <w:snapToGrid/>
            </w:pPr>
            <w:r w:rsidRPr="00EA3922">
              <w:t>the preambles for SDT in the shared RO are determined from the non-CBRA preambles for non-SDT RA type.</w:t>
            </w:r>
          </w:p>
          <w:p w14:paraId="7C92AD5D" w14:textId="601A13A9" w:rsidR="00EA3922" w:rsidRPr="00EA3922" w:rsidRDefault="00EA3922" w:rsidP="00EA3922">
            <w:pPr>
              <w:pStyle w:val="a3"/>
              <w:rPr>
                <w:lang w:eastAsia="zh-CN"/>
              </w:rPr>
            </w:pPr>
            <w:r w:rsidRPr="00EA3922">
              <w:t xml:space="preserve">For RA-SDT, </w:t>
            </w:r>
            <w:r w:rsidRPr="00EA3922">
              <w:rPr>
                <w:szCs w:val="22"/>
                <w:lang w:val="en-GB" w:eastAsia="zh-CN"/>
              </w:rPr>
              <w:t>when PRACH occasions are shared or separate between SDT and non-SDT,</w:t>
            </w:r>
          </w:p>
          <w:p w14:paraId="2211D62D" w14:textId="77777777" w:rsidR="00EA3922" w:rsidRPr="00EA3922" w:rsidRDefault="00EA3922" w:rsidP="00CB23BB">
            <w:pPr>
              <w:pStyle w:val="a3"/>
              <w:numPr>
                <w:ilvl w:val="1"/>
                <w:numId w:val="6"/>
              </w:numPr>
              <w:autoSpaceDE/>
              <w:autoSpaceDN/>
              <w:adjustRightInd/>
              <w:snapToGrid/>
              <w:rPr>
                <w:szCs w:val="22"/>
                <w:lang w:val="en-GB" w:eastAsia="zh-CN"/>
              </w:rPr>
            </w:pPr>
            <w:r w:rsidRPr="00EA3922">
              <w:t>the existing mapping rule of SSB-to-preamble mapping for non-SDT can be reused</w:t>
            </w:r>
          </w:p>
          <w:p w14:paraId="21524CE6" w14:textId="77777777" w:rsidR="00EA3922" w:rsidRPr="00EA3922" w:rsidRDefault="00EA3922" w:rsidP="00CB23BB">
            <w:pPr>
              <w:pStyle w:val="a3"/>
              <w:numPr>
                <w:ilvl w:val="1"/>
                <w:numId w:val="6"/>
              </w:numPr>
              <w:autoSpaceDE/>
              <w:autoSpaceDN/>
              <w:adjustRightInd/>
              <w:snapToGrid/>
              <w:rPr>
                <w:rFonts w:eastAsiaTheme="minorEastAsia"/>
                <w:iCs/>
                <w:lang w:eastAsia="zh-CN"/>
              </w:rPr>
            </w:pPr>
            <w:r w:rsidRPr="00EA3922">
              <w:rPr>
                <w:rFonts w:eastAsiaTheme="minorEastAsia"/>
                <w:lang w:eastAsia="zh-CN"/>
              </w:rPr>
              <w:lastRenderedPageBreak/>
              <w:t xml:space="preserve">the SCS of preamble for SDT can be reused from that for non-SDT, i.e. configured by </w:t>
            </w:r>
            <w:r w:rsidRPr="00EA3922">
              <w:rPr>
                <w:rFonts w:eastAsiaTheme="minorEastAsia"/>
                <w:i/>
                <w:iCs/>
                <w:lang w:eastAsia="zh-CN"/>
              </w:rPr>
              <w:t>msg1-subcarrierSpacing</w:t>
            </w:r>
            <w:r w:rsidRPr="00EA3922">
              <w:rPr>
                <w:rFonts w:eastAsiaTheme="minorEastAsia"/>
                <w:iCs/>
                <w:lang w:eastAsia="zh-CN"/>
              </w:rPr>
              <w:t>.</w:t>
            </w:r>
          </w:p>
          <w:p w14:paraId="6D5CD125" w14:textId="4615773D" w:rsidR="00EA3922" w:rsidRPr="00EA3922" w:rsidRDefault="00EA3922" w:rsidP="00EA3922">
            <w:pPr>
              <w:pStyle w:val="a3"/>
              <w:rPr>
                <w:lang w:eastAsia="zh-CN"/>
              </w:rPr>
            </w:pPr>
            <w:r w:rsidRPr="00EA3922">
              <w:rPr>
                <w:rFonts w:eastAsiaTheme="minorEastAsia"/>
                <w:iCs/>
                <w:lang w:eastAsia="zh-CN"/>
              </w:rPr>
              <w:t>For power control for PRACH of RA-SDT,</w:t>
            </w:r>
          </w:p>
          <w:p w14:paraId="1CD05E1F" w14:textId="77777777" w:rsidR="00EA3922" w:rsidRPr="00EA3922" w:rsidRDefault="00EA3922" w:rsidP="00CB23BB">
            <w:pPr>
              <w:pStyle w:val="a3"/>
              <w:numPr>
                <w:ilvl w:val="1"/>
                <w:numId w:val="6"/>
              </w:numPr>
              <w:autoSpaceDE/>
              <w:autoSpaceDN/>
              <w:adjustRightInd/>
              <w:snapToGrid/>
              <w:rPr>
                <w:rFonts w:eastAsiaTheme="minorEastAsia"/>
                <w:iCs/>
                <w:lang w:eastAsia="zh-CN"/>
              </w:rPr>
            </w:pPr>
            <w:r w:rsidRPr="00EA3922">
              <w:rPr>
                <w:rFonts w:eastAsiaTheme="minorEastAsia"/>
                <w:iCs/>
                <w:lang w:eastAsia="zh-CN"/>
              </w:rPr>
              <w:t xml:space="preserve">the </w:t>
            </w:r>
            <w:proofErr w:type="spellStart"/>
            <w:r w:rsidRPr="00EA3922">
              <w:rPr>
                <w:rFonts w:eastAsiaTheme="minorEastAsia"/>
                <w:i/>
                <w:iCs/>
                <w:lang w:eastAsia="zh-CN"/>
              </w:rPr>
              <w:t>preambleReceivedTargetPower</w:t>
            </w:r>
            <w:proofErr w:type="spellEnd"/>
            <w:r w:rsidRPr="00EA3922">
              <w:rPr>
                <w:rFonts w:eastAsiaTheme="minorEastAsia"/>
                <w:iCs/>
                <w:lang w:eastAsia="zh-CN"/>
              </w:rPr>
              <w:t xml:space="preserve"> for non-SDT RA is reused. </w:t>
            </w:r>
          </w:p>
          <w:p w14:paraId="00B79179" w14:textId="77777777" w:rsidR="00EA3922" w:rsidRPr="00EA3922" w:rsidRDefault="00EA3922" w:rsidP="00CB23BB">
            <w:pPr>
              <w:pStyle w:val="a3"/>
              <w:numPr>
                <w:ilvl w:val="1"/>
                <w:numId w:val="6"/>
              </w:numPr>
              <w:autoSpaceDE/>
              <w:autoSpaceDN/>
              <w:adjustRightInd/>
              <w:snapToGrid/>
              <w:rPr>
                <w:rFonts w:eastAsiaTheme="minorEastAsia"/>
                <w:iCs/>
                <w:lang w:eastAsia="zh-CN"/>
              </w:rPr>
            </w:pPr>
            <w:r w:rsidRPr="00EA3922">
              <w:rPr>
                <w:rFonts w:eastAsiaTheme="minorEastAsia"/>
                <w:iCs/>
                <w:lang w:eastAsia="zh-CN"/>
              </w:rPr>
              <w:t xml:space="preserve">The power ramping counter is common for both non-SDT and SDT RA. </w:t>
            </w:r>
          </w:p>
          <w:p w14:paraId="24A76A73" w14:textId="7E4B8191" w:rsidR="00EA3922" w:rsidRPr="00EA3922" w:rsidRDefault="00EA3922" w:rsidP="00CB23BB">
            <w:pPr>
              <w:pStyle w:val="a3"/>
              <w:numPr>
                <w:ilvl w:val="1"/>
                <w:numId w:val="6"/>
              </w:numPr>
              <w:autoSpaceDE/>
              <w:autoSpaceDN/>
              <w:adjustRightInd/>
              <w:snapToGrid/>
              <w:rPr>
                <w:lang w:val="en-GB" w:eastAsia="zh-CN"/>
              </w:rPr>
            </w:pPr>
            <w:r w:rsidRPr="00EA3922">
              <w:rPr>
                <w:rFonts w:eastAsiaTheme="minorEastAsia"/>
                <w:iCs/>
                <w:lang w:eastAsia="zh-CN"/>
              </w:rPr>
              <w:t xml:space="preserve">For SDT RACH with shared ROs, </w:t>
            </w:r>
            <w:proofErr w:type="spellStart"/>
            <w:r w:rsidRPr="00EA3922">
              <w:rPr>
                <w:rFonts w:eastAsiaTheme="minorEastAsia"/>
                <w:i/>
                <w:iCs/>
                <w:lang w:eastAsia="zh-CN"/>
              </w:rPr>
              <w:t>powerRampingStep</w:t>
            </w:r>
            <w:proofErr w:type="spellEnd"/>
            <w:r w:rsidRPr="00EA3922">
              <w:rPr>
                <w:rFonts w:eastAsiaTheme="minorEastAsia"/>
                <w:iCs/>
                <w:lang w:eastAsia="zh-CN"/>
              </w:rPr>
              <w:t xml:space="preserve"> for SDT RACH are indicated by that for the non-SDT RACH. For SDT RACH with separated ROs, </w:t>
            </w:r>
            <w:proofErr w:type="spellStart"/>
            <w:r w:rsidRPr="00EA3922">
              <w:rPr>
                <w:rFonts w:eastAsiaTheme="minorEastAsia"/>
                <w:i/>
                <w:iCs/>
                <w:lang w:eastAsia="zh-CN"/>
              </w:rPr>
              <w:t>powerRampingStep</w:t>
            </w:r>
            <w:proofErr w:type="spellEnd"/>
            <w:r w:rsidRPr="00EA3922">
              <w:rPr>
                <w:rFonts w:eastAsiaTheme="minorEastAsia"/>
                <w:iCs/>
                <w:lang w:eastAsia="zh-CN"/>
              </w:rPr>
              <w:t xml:space="preserve"> for SDT RACH can be separately configured.</w:t>
            </w:r>
          </w:p>
        </w:tc>
      </w:tr>
    </w:tbl>
    <w:p w14:paraId="2C2DA12A" w14:textId="77777777" w:rsidR="00EA3922" w:rsidRDefault="00EA3922" w:rsidP="0094502B">
      <w:pPr>
        <w:overflowPunct w:val="0"/>
        <w:spacing w:before="100" w:beforeAutospacing="1" w:after="100" w:afterAutospacing="1"/>
        <w:rPr>
          <w:lang w:eastAsia="zh-CN"/>
        </w:rPr>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55A95B4B" w:rsidR="000116DA" w:rsidRDefault="001949E0" w:rsidP="0090152A">
      <w:pPr>
        <w:overflowPunct w:val="0"/>
        <w:spacing w:before="100" w:beforeAutospacing="1" w:after="100" w:afterAutospacing="1" w:line="276" w:lineRule="auto"/>
        <w:rPr>
          <w:lang w:eastAsia="zh-CN"/>
        </w:rPr>
      </w:pPr>
      <w:r w:rsidRPr="008053C4">
        <w:rPr>
          <w:lang w:eastAsia="zh-CN"/>
        </w:rPr>
        <w:t>RAN</w:t>
      </w:r>
      <w:r w:rsidR="0090389A" w:rsidRPr="008053C4">
        <w:rPr>
          <w:lang w:eastAsia="zh-CN"/>
        </w:rPr>
        <w:t>1</w:t>
      </w:r>
      <w:r w:rsidRPr="008053C4">
        <w:rPr>
          <w:lang w:eastAsia="zh-CN"/>
        </w:rPr>
        <w:t xml:space="preserve"> </w:t>
      </w:r>
      <w:r w:rsidR="0090389A" w:rsidRPr="008053C4">
        <w:rPr>
          <w:lang w:eastAsia="zh-CN"/>
        </w:rPr>
        <w:t xml:space="preserve">respectfully asks </w:t>
      </w:r>
      <w:r w:rsidR="00561A5D">
        <w:rPr>
          <w:lang w:eastAsia="zh-CN"/>
        </w:rPr>
        <w:t>RAN2</w:t>
      </w:r>
      <w:r w:rsidR="00D56B3A">
        <w:rPr>
          <w:lang w:eastAsia="zh-CN"/>
        </w:rPr>
        <w:t xml:space="preserve"> </w:t>
      </w:r>
      <w:r w:rsidR="00052D90">
        <w:rPr>
          <w:lang w:eastAsia="zh-CN"/>
        </w:rPr>
        <w:t>to</w:t>
      </w:r>
      <w:r w:rsidR="00C20B19">
        <w:rPr>
          <w:lang w:eastAsia="zh-CN"/>
        </w:rPr>
        <w:t xml:space="preserve"> </w:t>
      </w:r>
      <w:proofErr w:type="gramStart"/>
      <w:r w:rsidR="0090152A">
        <w:rPr>
          <w:lang w:eastAsia="zh-CN"/>
        </w:rPr>
        <w:t>t</w:t>
      </w:r>
      <w:r w:rsidR="008A288A">
        <w:rPr>
          <w:lang w:eastAsia="zh-CN"/>
        </w:rPr>
        <w:t>ake into account</w:t>
      </w:r>
      <w:proofErr w:type="gramEnd"/>
      <w:r w:rsidR="008A288A">
        <w:rPr>
          <w:lang w:eastAsia="zh-CN"/>
        </w:rPr>
        <w:t xml:space="preserve"> </w:t>
      </w:r>
      <w:r w:rsidR="00212ECE">
        <w:rPr>
          <w:lang w:eastAsia="zh-CN"/>
        </w:rPr>
        <w:t xml:space="preserve">the above </w:t>
      </w:r>
      <w:r w:rsidR="0090152A">
        <w:rPr>
          <w:lang w:eastAsia="zh-CN"/>
        </w:rPr>
        <w:t>information.</w:t>
      </w:r>
    </w:p>
    <w:p w14:paraId="5D20251C" w14:textId="77777777" w:rsidR="00A14636" w:rsidRDefault="00A14636" w:rsidP="0090152A">
      <w:pPr>
        <w:overflowPunct w:val="0"/>
        <w:spacing w:before="100" w:beforeAutospacing="1" w:after="100" w:afterAutospacing="1" w:line="276" w:lineRule="auto"/>
        <w:rPr>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07AEBD68"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sidR="00561A5D">
        <w:rPr>
          <w:rFonts w:ascii="Arial" w:eastAsia="MS Mincho" w:hAnsi="Arial" w:cs="Arial"/>
          <w:bCs/>
          <w:sz w:val="20"/>
          <w:lang w:eastAsia="ja-JP"/>
        </w:rPr>
        <w:t>6b</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00952EB6">
        <w:rPr>
          <w:rFonts w:ascii="Arial" w:eastAsia="MS Mincho" w:hAnsi="Arial" w:cs="Arial"/>
          <w:bCs/>
          <w:sz w:val="20"/>
          <w:lang w:eastAsia="ja-JP"/>
        </w:rPr>
        <w:tab/>
      </w:r>
      <w:r w:rsidR="00952EB6">
        <w:rPr>
          <w:rFonts w:ascii="Arial" w:eastAsia="MS Mincho" w:hAnsi="Arial" w:cs="Arial"/>
          <w:bCs/>
          <w:sz w:val="20"/>
          <w:lang w:eastAsia="ja-JP"/>
        </w:rPr>
        <w:tab/>
      </w:r>
      <w:r w:rsidR="00952EB6">
        <w:rPr>
          <w:rFonts w:ascii="Arial" w:eastAsia="MS Mincho" w:hAnsi="Arial" w:cs="Arial"/>
          <w:bCs/>
          <w:sz w:val="20"/>
          <w:lang w:eastAsia="ja-JP"/>
        </w:rPr>
        <w:tab/>
      </w:r>
      <w:r w:rsidR="00D53DF4" w:rsidRPr="00272D95">
        <w:rPr>
          <w:rFonts w:ascii="Arial" w:eastAsia="MS Mincho" w:hAnsi="Arial" w:cs="Arial"/>
          <w:bCs/>
          <w:sz w:val="20"/>
          <w:lang w:eastAsia="ja-JP"/>
        </w:rPr>
        <w:t>1</w:t>
      </w:r>
      <w:r w:rsidR="00952EB6">
        <w:rPr>
          <w:rFonts w:ascii="Arial" w:eastAsia="MS Mincho" w:hAnsi="Arial" w:cs="Arial"/>
          <w:bCs/>
          <w:sz w:val="20"/>
          <w:lang w:eastAsia="ja-JP"/>
        </w:rPr>
        <w:t>1</w:t>
      </w:r>
      <w:r w:rsidR="00952EB6">
        <w:rPr>
          <w:rFonts w:ascii="Arial" w:eastAsia="MS Mincho" w:hAnsi="Arial" w:cs="Arial"/>
          <w:bCs/>
          <w:sz w:val="20"/>
          <w:vertAlign w:val="superscript"/>
          <w:lang w:eastAsia="ja-JP"/>
        </w:rPr>
        <w:t>th</w:t>
      </w:r>
      <w:r w:rsidR="00D53DF4" w:rsidRPr="00272D95">
        <w:rPr>
          <w:rFonts w:ascii="Arial" w:eastAsia="MS Mincho" w:hAnsi="Arial" w:cs="Arial"/>
          <w:bCs/>
          <w:sz w:val="20"/>
          <w:lang w:eastAsia="ja-JP"/>
        </w:rPr>
        <w:t xml:space="preserve"> </w:t>
      </w:r>
      <w:r w:rsidR="00952EB6">
        <w:rPr>
          <w:rFonts w:ascii="Arial" w:eastAsia="MS Mincho" w:hAnsi="Arial" w:cs="Arial"/>
          <w:bCs/>
          <w:sz w:val="20"/>
          <w:lang w:eastAsia="ja-JP"/>
        </w:rPr>
        <w:t>Oct</w:t>
      </w:r>
      <w:r w:rsidR="00D47F11" w:rsidRPr="00272D95">
        <w:rPr>
          <w:rFonts w:ascii="Arial" w:eastAsia="MS Mincho" w:hAnsi="Arial" w:cs="Arial"/>
          <w:bCs/>
          <w:sz w:val="20"/>
          <w:lang w:eastAsia="ja-JP"/>
        </w:rPr>
        <w:t xml:space="preserve"> </w:t>
      </w:r>
      <w:r w:rsidRPr="00272D95">
        <w:rPr>
          <w:rFonts w:ascii="Arial" w:eastAsia="MS Mincho" w:hAnsi="Arial" w:cs="Arial"/>
          <w:bCs/>
          <w:sz w:val="20"/>
          <w:lang w:eastAsia="ja-JP"/>
        </w:rPr>
        <w:t xml:space="preserve">– </w:t>
      </w:r>
      <w:r w:rsidR="00952EB6">
        <w:rPr>
          <w:rFonts w:ascii="Arial" w:eastAsia="MS Mincho" w:hAnsi="Arial" w:cs="Arial"/>
          <w:bCs/>
          <w:sz w:val="20"/>
          <w:lang w:eastAsia="ja-JP"/>
        </w:rPr>
        <w:t>19</w:t>
      </w:r>
      <w:r w:rsidRPr="00272D95">
        <w:rPr>
          <w:rFonts w:ascii="Arial" w:eastAsia="MS Mincho" w:hAnsi="Arial" w:cs="Arial"/>
          <w:bCs/>
          <w:sz w:val="20"/>
          <w:vertAlign w:val="superscript"/>
          <w:lang w:eastAsia="ja-JP"/>
        </w:rPr>
        <w:t>th</w:t>
      </w:r>
      <w:r w:rsidRPr="00272D95">
        <w:rPr>
          <w:rFonts w:ascii="Arial" w:eastAsia="MS Mincho" w:hAnsi="Arial" w:cs="Arial"/>
          <w:bCs/>
          <w:sz w:val="20"/>
          <w:lang w:eastAsia="ja-JP"/>
        </w:rPr>
        <w:t xml:space="preserve"> </w:t>
      </w:r>
      <w:r w:rsidR="00952EB6">
        <w:rPr>
          <w:rFonts w:ascii="Arial" w:eastAsia="MS Mincho" w:hAnsi="Arial" w:cs="Arial"/>
          <w:bCs/>
          <w:sz w:val="20"/>
          <w:lang w:eastAsia="ja-JP"/>
        </w:rPr>
        <w:t>Oct</w:t>
      </w:r>
      <w:r w:rsidR="00D47F11" w:rsidRPr="00272D95">
        <w:rPr>
          <w:rFonts w:ascii="Arial" w:eastAsia="MS Mincho" w:hAnsi="Arial" w:cs="Arial"/>
          <w:bCs/>
          <w:sz w:val="20"/>
          <w:lang w:eastAsia="ja-JP"/>
        </w:rPr>
        <w:t xml:space="preserve"> </w:t>
      </w:r>
      <w:r w:rsidRPr="00272D95">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r>
      <w:r w:rsidR="00674950">
        <w:rPr>
          <w:rFonts w:ascii="Arial" w:eastAsia="MS Mincho" w:hAnsi="Arial" w:cs="Arial"/>
          <w:bCs/>
          <w:sz w:val="20"/>
          <w:lang w:eastAsia="ja-JP"/>
        </w:rPr>
        <w:t xml:space="preserve">                              </w:t>
      </w:r>
      <w:r w:rsidR="00952EB6">
        <w:rPr>
          <w:rFonts w:ascii="Arial" w:eastAsia="MS Mincho" w:hAnsi="Arial" w:cs="Arial"/>
          <w:bCs/>
          <w:sz w:val="20"/>
          <w:lang w:eastAsia="ja-JP"/>
        </w:rPr>
        <w:tab/>
      </w:r>
      <w:r w:rsidR="00952EB6">
        <w:rPr>
          <w:rFonts w:ascii="Arial" w:eastAsia="MS Mincho" w:hAnsi="Arial" w:cs="Arial"/>
          <w:bCs/>
          <w:sz w:val="20"/>
          <w:lang w:eastAsia="ja-JP"/>
        </w:rPr>
        <w:tab/>
      </w:r>
      <w:r w:rsidR="00674950">
        <w:rPr>
          <w:rFonts w:ascii="Arial" w:hAnsi="Arial" w:cs="Arial"/>
          <w:bCs/>
          <w:sz w:val="20"/>
          <w:szCs w:val="20"/>
          <w:lang w:val="en-GB" w:eastAsia="zh-CN"/>
        </w:rPr>
        <w:t>e-meeting</w:t>
      </w:r>
    </w:p>
    <w:p w14:paraId="1B7D934B" w14:textId="583FDC04" w:rsidR="00674950" w:rsidRPr="00BB6FB1" w:rsidRDefault="00674950" w:rsidP="00674950">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w:t>
      </w:r>
      <w:r w:rsidR="00376B57">
        <w:rPr>
          <w:rFonts w:ascii="Arial" w:hAnsi="Arial" w:cs="Arial"/>
          <w:sz w:val="20"/>
          <w:szCs w:val="20"/>
          <w:lang w:eastAsia="zh-CN"/>
        </w:rPr>
        <w:t>-</w:t>
      </w:r>
      <w:r>
        <w:rPr>
          <w:rFonts w:ascii="Arial" w:hAnsi="Arial" w:cs="Arial"/>
          <w:sz w:val="20"/>
          <w:szCs w:val="20"/>
          <w:lang w:eastAsia="zh-CN"/>
        </w:rPr>
        <w:t>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561A5D">
        <w:rPr>
          <w:rFonts w:ascii="Arial" w:hAnsi="Arial" w:cs="Arial"/>
          <w:sz w:val="20"/>
          <w:szCs w:val="20"/>
          <w:lang w:eastAsia="zh-CN"/>
        </w:rPr>
        <w:t>7</w:t>
      </w:r>
      <w:r>
        <w:rPr>
          <w:rFonts w:ascii="Arial" w:hAnsi="Arial" w:cs="Arial"/>
          <w:sz w:val="20"/>
          <w:szCs w:val="20"/>
          <w:lang w:eastAsia="zh-CN"/>
        </w:rPr>
        <w:t>-e</w:t>
      </w:r>
      <w:r w:rsidR="00952EB6">
        <w:rPr>
          <w:rFonts w:ascii="Arial" w:hAnsi="Arial" w:cs="Arial"/>
          <w:sz w:val="20"/>
          <w:szCs w:val="20"/>
          <w:lang w:eastAsia="zh-CN"/>
        </w:rPr>
        <w:tab/>
      </w:r>
      <w:r w:rsidR="00952EB6">
        <w:rPr>
          <w:rFonts w:ascii="Arial" w:hAnsi="Arial" w:cs="Arial"/>
          <w:sz w:val="20"/>
          <w:szCs w:val="20"/>
          <w:lang w:eastAsia="zh-CN"/>
        </w:rPr>
        <w:tab/>
      </w:r>
      <w:r w:rsidR="00952EB6">
        <w:rPr>
          <w:rFonts w:ascii="Arial" w:hAnsi="Arial" w:cs="Arial"/>
          <w:sz w:val="20"/>
          <w:szCs w:val="20"/>
          <w:lang w:eastAsia="zh-CN"/>
        </w:rPr>
        <w:tab/>
      </w:r>
      <w:r w:rsidR="00952EB6">
        <w:rPr>
          <w:rFonts w:ascii="Arial" w:hAnsi="Arial" w:cs="Arial"/>
          <w:bCs/>
          <w:sz w:val="20"/>
          <w:szCs w:val="20"/>
          <w:lang w:val="en-GB" w:eastAsia="zh-CN"/>
        </w:rPr>
        <w:t>11</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952EB6">
        <w:rPr>
          <w:rFonts w:ascii="Arial" w:hAnsi="Arial" w:cs="Arial"/>
          <w:bCs/>
          <w:sz w:val="20"/>
          <w:szCs w:val="20"/>
          <w:lang w:val="en-GB" w:eastAsia="zh-CN"/>
        </w:rPr>
        <w:t>Nov</w:t>
      </w:r>
      <w:r>
        <w:rPr>
          <w:rFonts w:ascii="Arial" w:hAnsi="Arial" w:cs="Arial"/>
          <w:bCs/>
          <w:sz w:val="20"/>
          <w:szCs w:val="20"/>
          <w:lang w:val="en-GB" w:eastAsia="zh-CN"/>
        </w:rPr>
        <w:t xml:space="preserve"> –</w:t>
      </w:r>
      <w:r w:rsidR="00D53DF4">
        <w:rPr>
          <w:rFonts w:ascii="Arial" w:hAnsi="Arial" w:cs="Arial"/>
          <w:bCs/>
          <w:sz w:val="20"/>
          <w:szCs w:val="20"/>
          <w:lang w:val="en-GB" w:eastAsia="zh-CN"/>
        </w:rPr>
        <w:t xml:space="preserve"> </w:t>
      </w:r>
      <w:r w:rsidR="00952EB6">
        <w:rPr>
          <w:rFonts w:ascii="Arial" w:hAnsi="Arial" w:cs="Arial"/>
          <w:bCs/>
          <w:sz w:val="20"/>
          <w:szCs w:val="20"/>
          <w:lang w:val="en-GB" w:eastAsia="zh-CN"/>
        </w:rPr>
        <w:t>19</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952EB6">
        <w:rPr>
          <w:rFonts w:ascii="Arial" w:hAnsi="Arial" w:cs="Arial"/>
          <w:bCs/>
          <w:sz w:val="20"/>
          <w:szCs w:val="20"/>
          <w:lang w:val="en-GB" w:eastAsia="zh-CN"/>
        </w:rPr>
        <w:t>Nov</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bookmarkStart w:id="3" w:name="_GoBack"/>
      <w:bookmarkEnd w:id="3"/>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1CA10" w14:textId="77777777" w:rsidR="003D4EDE" w:rsidRDefault="003D4EDE">
      <w:r>
        <w:separator/>
      </w:r>
    </w:p>
  </w:endnote>
  <w:endnote w:type="continuationSeparator" w:id="0">
    <w:p w14:paraId="710142B7" w14:textId="77777777" w:rsidR="003D4EDE" w:rsidRDefault="003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AAB78" w14:textId="77777777" w:rsidR="003D4EDE" w:rsidRDefault="003D4EDE">
      <w:r>
        <w:separator/>
      </w:r>
    </w:p>
  </w:footnote>
  <w:footnote w:type="continuationSeparator" w:id="0">
    <w:p w14:paraId="30C064C9" w14:textId="77777777" w:rsidR="003D4EDE" w:rsidRDefault="003D4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B27F13"/>
    <w:multiLevelType w:val="hybridMultilevel"/>
    <w:tmpl w:val="32C88C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0F77AD"/>
    <w:multiLevelType w:val="hybridMultilevel"/>
    <w:tmpl w:val="A588F556"/>
    <w:lvl w:ilvl="0" w:tplc="8E48F6AC">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num>
  <w:num w:numId="3">
    <w:abstractNumId w:val="4"/>
  </w:num>
  <w:num w:numId="4">
    <w:abstractNumId w:val="5"/>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0A2A"/>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2D95"/>
    <w:rsid w:val="002733E2"/>
    <w:rsid w:val="00273A24"/>
    <w:rsid w:val="00273CC2"/>
    <w:rsid w:val="0027487A"/>
    <w:rsid w:val="002750B1"/>
    <w:rsid w:val="0027582E"/>
    <w:rsid w:val="0027598F"/>
    <w:rsid w:val="00276A35"/>
    <w:rsid w:val="0027731B"/>
    <w:rsid w:val="00277835"/>
    <w:rsid w:val="0028016C"/>
    <w:rsid w:val="00280AB1"/>
    <w:rsid w:val="002811EB"/>
    <w:rsid w:val="00281B36"/>
    <w:rsid w:val="00282FBA"/>
    <w:rsid w:val="002830A7"/>
    <w:rsid w:val="002833A6"/>
    <w:rsid w:val="00283AE7"/>
    <w:rsid w:val="00284ABE"/>
    <w:rsid w:val="00284BAE"/>
    <w:rsid w:val="0028539B"/>
    <w:rsid w:val="00285681"/>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684"/>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4A3"/>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6B57"/>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501"/>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4EDE"/>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404"/>
    <w:rsid w:val="003F5DA6"/>
    <w:rsid w:val="003F5F9A"/>
    <w:rsid w:val="003F6CD2"/>
    <w:rsid w:val="003F788D"/>
    <w:rsid w:val="004011CF"/>
    <w:rsid w:val="0040126E"/>
    <w:rsid w:val="004020D4"/>
    <w:rsid w:val="004021B6"/>
    <w:rsid w:val="004024F7"/>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5D"/>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7CB"/>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0C6B"/>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6EB6"/>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5B71"/>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950"/>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29F4"/>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EB6"/>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49EE"/>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95A"/>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636"/>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95D"/>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A38"/>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654"/>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3BB"/>
    <w:rsid w:val="00CB26EC"/>
    <w:rsid w:val="00CB2D2A"/>
    <w:rsid w:val="00CB4585"/>
    <w:rsid w:val="00CB4E31"/>
    <w:rsid w:val="00CB5B1E"/>
    <w:rsid w:val="00CB6AE2"/>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17B"/>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299"/>
    <w:rsid w:val="00D437D8"/>
    <w:rsid w:val="00D44097"/>
    <w:rsid w:val="00D44994"/>
    <w:rsid w:val="00D4525C"/>
    <w:rsid w:val="00D45918"/>
    <w:rsid w:val="00D45DF3"/>
    <w:rsid w:val="00D46174"/>
    <w:rsid w:val="00D46796"/>
    <w:rsid w:val="00D473AC"/>
    <w:rsid w:val="00D47962"/>
    <w:rsid w:val="00D47DD0"/>
    <w:rsid w:val="00D47EF0"/>
    <w:rsid w:val="00D47F11"/>
    <w:rsid w:val="00D50183"/>
    <w:rsid w:val="00D51847"/>
    <w:rsid w:val="00D51D12"/>
    <w:rsid w:val="00D5258E"/>
    <w:rsid w:val="00D52FB8"/>
    <w:rsid w:val="00D53246"/>
    <w:rsid w:val="00D5362B"/>
    <w:rsid w:val="00D537D4"/>
    <w:rsid w:val="00D53867"/>
    <w:rsid w:val="00D53DF4"/>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1CB"/>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28E"/>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3CC"/>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922"/>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4B50"/>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B90"/>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 w:type="paragraph" w:customStyle="1" w:styleId="TAL">
    <w:name w:val="TAL"/>
    <w:basedOn w:val="a"/>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3.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F07148-4C8A-4FBE-83E8-D88FC4B68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2774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 V2</cp:lastModifiedBy>
  <cp:revision>2</cp:revision>
  <cp:lastPrinted>2007-06-18T21:08:00Z</cp:lastPrinted>
  <dcterms:created xsi:type="dcterms:W3CDTF">2021-08-06T12:30:00Z</dcterms:created>
  <dcterms:modified xsi:type="dcterms:W3CDTF">2021-08-06T12:30:00Z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